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0E30" w14:textId="412E2612" w:rsidR="001B31DA" w:rsidRPr="001B31DA" w:rsidRDefault="001B31DA">
      <w:pPr>
        <w:rPr>
          <w:rFonts w:asciiTheme="majorBidi" w:hAnsiTheme="majorBidi" w:cstheme="majorBidi"/>
          <w:sz w:val="36"/>
          <w:szCs w:val="36"/>
          <w:lang w:val="en-US"/>
        </w:rPr>
      </w:pPr>
    </w:p>
    <w:p w14:paraId="6A8108EF" w14:textId="7D63549C" w:rsidR="001B31DA" w:rsidRPr="001B31DA" w:rsidRDefault="001B31DA" w:rsidP="001B31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  <w:r w:rsidRPr="001B31DA"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  <w:t>Split and analyze the data for GUQ and non-GUQ students (treat all non-GUQ students as a single category) using suitable charts/graphs. </w:t>
      </w:r>
    </w:p>
    <w:p w14:paraId="66B1EE63" w14:textId="77777777" w:rsidR="001B31DA" w:rsidRPr="001B31DA" w:rsidRDefault="001B31DA" w:rsidP="001B31DA">
      <w:p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</w:p>
    <w:p w14:paraId="6709C1D7" w14:textId="33D1676D" w:rsidR="001B31DA" w:rsidRPr="001B31DA" w:rsidRDefault="001B31DA" w:rsidP="001B31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  <w:r w:rsidRPr="001B31DA"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  <w:t>Split and analyze the data by class year (2024, 2025, 2026, 2027, and Other) using suitable charts/graphs. </w:t>
      </w:r>
    </w:p>
    <w:p w14:paraId="03799A11" w14:textId="77777777" w:rsidR="001B31DA" w:rsidRPr="001B31DA" w:rsidRDefault="001B31DA" w:rsidP="001B31D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</w:p>
    <w:p w14:paraId="114CBE27" w14:textId="531346C5" w:rsidR="001B31DA" w:rsidRPr="001B31DA" w:rsidRDefault="001B31DA" w:rsidP="001B31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  <w:r w:rsidRPr="001B31DA"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  <w:t>For Q2, Q4, Q6, and Q7, identify the most common or frequently-occurring combinations.</w:t>
      </w:r>
    </w:p>
    <w:p w14:paraId="258EE89B" w14:textId="77777777" w:rsidR="001B31DA" w:rsidRPr="001B31DA" w:rsidRDefault="001B31DA" w:rsidP="001B31DA">
      <w:p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</w:p>
    <w:p w14:paraId="4827AAD2" w14:textId="19836D5C" w:rsidR="001B31DA" w:rsidRPr="001B31DA" w:rsidRDefault="001B31DA" w:rsidP="001B31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  <w:r w:rsidRPr="001B31DA"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  <w:t>For Q8-Q13, convert the responses to a numerical Likert scale, and calculate the mean and median overall and, separately for GUQ and non-GUQ students as well as by class year. </w:t>
      </w:r>
    </w:p>
    <w:p w14:paraId="62072EC6" w14:textId="77777777" w:rsidR="001B31DA" w:rsidRPr="001B31DA" w:rsidRDefault="001B31DA" w:rsidP="001B31D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</w:p>
    <w:p w14:paraId="34D10D29" w14:textId="2E86B6A5" w:rsidR="001B31DA" w:rsidRPr="001B31DA" w:rsidRDefault="001B31DA" w:rsidP="001B31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  <w:r w:rsidRPr="001B31DA"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  <w:t>Explain the patterns or trends you observe in the data. </w:t>
      </w:r>
    </w:p>
    <w:p w14:paraId="011992EA" w14:textId="77777777" w:rsidR="001B31DA" w:rsidRPr="001B31DA" w:rsidRDefault="001B31DA" w:rsidP="001B31D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</w:p>
    <w:p w14:paraId="64F65C69" w14:textId="0FC8566B" w:rsidR="001B31DA" w:rsidRPr="001B31DA" w:rsidRDefault="001B31DA" w:rsidP="001B31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  <w:r w:rsidRPr="001B31DA"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  <w:t>Compared to the HC survey report shared earlier, what differences, if any, do you observe? How do you explain them? </w:t>
      </w:r>
    </w:p>
    <w:p w14:paraId="13A7FC4C" w14:textId="77777777" w:rsidR="001B31DA" w:rsidRPr="001B31DA" w:rsidRDefault="001B31DA" w:rsidP="001B31D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</w:p>
    <w:p w14:paraId="43E43FF4" w14:textId="3E275FF4" w:rsidR="001B31DA" w:rsidRPr="001B31DA" w:rsidRDefault="001B31DA" w:rsidP="001B31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  <w:r w:rsidRPr="001B31DA"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  <w:t>Identify follow-up questions or modifications to the existing questions based on your quantitative analysis. </w:t>
      </w:r>
    </w:p>
    <w:p w14:paraId="0798EC6F" w14:textId="77777777" w:rsidR="001B31DA" w:rsidRPr="001B31DA" w:rsidRDefault="001B31DA" w:rsidP="001B31DA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</w:p>
    <w:p w14:paraId="22776A31" w14:textId="497089CD" w:rsidR="001B31DA" w:rsidRPr="001B31DA" w:rsidRDefault="001B31DA" w:rsidP="001B31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</w:pPr>
      <w:r w:rsidRPr="001B31DA">
        <w:rPr>
          <w:rFonts w:asciiTheme="majorBidi" w:eastAsia="Times New Roman" w:hAnsiTheme="majorBidi" w:cstheme="majorBidi"/>
          <w:color w:val="2D3B45"/>
          <w:sz w:val="36"/>
          <w:szCs w:val="36"/>
          <w:lang w:eastAsia="en-GB"/>
        </w:rPr>
        <w:t>Suggest concrete recommendations for GUQ based on your data analysis and interpretation.</w:t>
      </w:r>
    </w:p>
    <w:sectPr w:rsidR="001B31DA" w:rsidRPr="001B31DA" w:rsidSect="001B3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3568"/>
    <w:multiLevelType w:val="multilevel"/>
    <w:tmpl w:val="3AF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DA"/>
    <w:rsid w:val="001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DF131"/>
  <w15:chartTrackingRefBased/>
  <w15:docId w15:val="{DFBFD207-706F-584E-BEDD-9127510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Q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masouma al haidar</dc:creator>
  <cp:keywords/>
  <dc:description/>
  <cp:lastModifiedBy>masouma al haidar</cp:lastModifiedBy>
  <cp:revision>1</cp:revision>
  <dcterms:created xsi:type="dcterms:W3CDTF">2024-03-18T00:23:00Z</dcterms:created>
  <dcterms:modified xsi:type="dcterms:W3CDTF">2024-03-18T00:26:00Z</dcterms:modified>
</cp:coreProperties>
</file>